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_______________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Explain what the conflicts surrounding each of the following issues were during the time period of 1820 and 1840. For each, use </w:t>
      </w:r>
      <w:r w:rsidDel="00000000" w:rsidR="00000000" w:rsidRPr="00000000">
        <w:rPr>
          <w:i w:val="1"/>
          <w:rtl w:val="0"/>
        </w:rPr>
        <w:t xml:space="preserve">some</w:t>
      </w:r>
      <w:r w:rsidDel="00000000" w:rsidR="00000000" w:rsidRPr="00000000">
        <w:rPr>
          <w:rtl w:val="0"/>
        </w:rPr>
        <w:t xml:space="preserve"> specific names, events, cases, etc.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Second Bank of the United States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States’ Rights and Nullification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Internal Improvements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Why did the two party system reemerge during this same time period?  (in your own assessment)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This era is called the Jacksonian Era and is known for increased political participation.  Explain four ways in which democracy increased during this period.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Define the following terms: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Shays’s Rebellion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Deism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Virginia and Kentucky Resolutions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Hamilton’s Economic Plan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Monroe Doctrine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Adams-Onis Treaty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Missouri Compromise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Judiciary Act 1789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Northwest Ordinance and Land Ordinance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Hartford Convention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